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89D9" w14:textId="77777777" w:rsidR="00923C43" w:rsidRDefault="0002072E">
      <w:r w:rsidRPr="003A08C8">
        <w:rPr>
          <w:rStyle w:val="apple-converted-space"/>
          <w:rFonts w:ascii="Palatino" w:eastAsia=".SFNSText-Regular" w:hAnsi="Palatino"/>
          <w:b/>
          <w:color w:val="1D2129"/>
          <w:spacing w:val="-2"/>
        </w:rPr>
        <w:t>Manoutchehr Eskandari-Qajar</w:t>
      </w:r>
      <w:r>
        <w:rPr>
          <w:rStyle w:val="apple-converted-space"/>
          <w:rFonts w:ascii="Palatino" w:eastAsia=".SFNSText-Regular" w:hAnsi="Palatino"/>
          <w:color w:val="1D2129"/>
          <w:spacing w:val="-2"/>
        </w:rPr>
        <w:t xml:space="preserve">, is </w:t>
      </w:r>
      <w:r w:rsidRPr="00524A0D">
        <w:rPr>
          <w:rStyle w:val="apple-converted-space"/>
          <w:rFonts w:ascii="Palatino" w:eastAsia=".SFNSText-Regular" w:hAnsi="Palatino"/>
          <w:color w:val="1D2129"/>
          <w:spacing w:val="-2"/>
        </w:rPr>
        <w:t xml:space="preserve">Professor of Political </w:t>
      </w:r>
      <w:r>
        <w:rPr>
          <w:rStyle w:val="apple-converted-space"/>
          <w:rFonts w:ascii="Palatino" w:eastAsia=".SFNSText-Regular" w:hAnsi="Palatino"/>
          <w:color w:val="1D2129"/>
          <w:spacing w:val="-2"/>
        </w:rPr>
        <w:t xml:space="preserve">Science and Director and Founder of the Middle East Studies Program at Santa Barbara City College. He is also </w:t>
      </w:r>
      <w:r w:rsidRPr="00524A0D">
        <w:rPr>
          <w:rStyle w:val="apple-converted-space"/>
          <w:rFonts w:ascii="Palatino" w:eastAsia=".SFNSText-Regular" w:hAnsi="Palatino"/>
          <w:color w:val="1D2129"/>
          <w:spacing w:val="-2"/>
        </w:rPr>
        <w:t>Fo</w:t>
      </w:r>
      <w:r>
        <w:rPr>
          <w:rStyle w:val="apple-converted-space"/>
          <w:rFonts w:ascii="Palatino" w:eastAsia=".SFNSText-Regular" w:hAnsi="Palatino"/>
          <w:color w:val="1D2129"/>
          <w:spacing w:val="-2"/>
        </w:rPr>
        <w:t xml:space="preserve">under and Past President of the </w:t>
      </w:r>
      <w:r w:rsidRPr="00524A0D">
        <w:rPr>
          <w:rStyle w:val="apple-converted-space"/>
          <w:rFonts w:ascii="Palatino" w:eastAsia=".SFNSText-Regular" w:hAnsi="Palatino"/>
          <w:color w:val="1D2129"/>
          <w:spacing w:val="-2"/>
        </w:rPr>
        <w:t>International Qajar Studies Association (IQSA)</w:t>
      </w:r>
      <w:r>
        <w:rPr>
          <w:rStyle w:val="apple-converted-space"/>
          <w:rFonts w:ascii="Palatino" w:eastAsia=".SFNSText-Regular" w:hAnsi="Palatino"/>
          <w:color w:val="1D2129"/>
          <w:spacing w:val="-2"/>
        </w:rPr>
        <w:t>, an association dedicated to the study of 19</w:t>
      </w:r>
      <w:r w:rsidRPr="003A08C8">
        <w:rPr>
          <w:rStyle w:val="apple-converted-space"/>
          <w:rFonts w:ascii="Palatino" w:eastAsia=".SFNSText-Regular" w:hAnsi="Palatino"/>
          <w:color w:val="1D2129"/>
          <w:spacing w:val="-2"/>
          <w:vertAlign w:val="superscript"/>
        </w:rPr>
        <w:t>th</w:t>
      </w:r>
      <w:r>
        <w:rPr>
          <w:rStyle w:val="apple-converted-space"/>
          <w:rFonts w:ascii="Palatino" w:eastAsia=".SFNSText-Regular" w:hAnsi="Palatino"/>
          <w:color w:val="1D2129"/>
          <w:spacing w:val="-2"/>
        </w:rPr>
        <w:t xml:space="preserve"> century Persia. He received his Magister in International Relations and International Law in 1980 from the University of Vienna, Austria and continued his studies at the University of California, Santa Barbara, where he received his MA and PhD in Political Science in 1982 and 1984 respectively. His research and publication interests are focused mainly on the Qajar era. His most recent publications include: </w:t>
      </w:r>
      <w:r w:rsidRPr="00524A0D">
        <w:rPr>
          <w:rStyle w:val="apple-converted-space"/>
          <w:rFonts w:ascii="Palatino" w:eastAsia=".SFNSText-Regular" w:hAnsi="Palatino"/>
          <w:color w:val="1D2129"/>
          <w:spacing w:val="-2"/>
          <w:u w:val="single"/>
        </w:rPr>
        <w:t>Notices on the Private Life of Nasser al-Din Shah</w:t>
      </w:r>
      <w:r w:rsidRPr="00524A0D">
        <w:rPr>
          <w:rStyle w:val="apple-converted-space"/>
          <w:rFonts w:ascii="Palatino" w:eastAsia=".SFNSText-Regular" w:hAnsi="Palatino"/>
          <w:color w:val="1D2129"/>
          <w:spacing w:val="-2"/>
        </w:rPr>
        <w:t xml:space="preserve"> (Forthc</w:t>
      </w:r>
      <w:r>
        <w:rPr>
          <w:rStyle w:val="apple-converted-space"/>
          <w:rFonts w:ascii="Palatino" w:eastAsia=".SFNSText-Regular" w:hAnsi="Palatino"/>
          <w:color w:val="1D2129"/>
          <w:spacing w:val="-2"/>
        </w:rPr>
        <w:t xml:space="preserve">oming: Mage Publishers, 2018). </w:t>
      </w:r>
      <w:r w:rsidRPr="00524A0D">
        <w:rPr>
          <w:rStyle w:val="apple-converted-space"/>
          <w:rFonts w:ascii="Palatino" w:eastAsia=".SFNSText-Regular" w:hAnsi="Palatino"/>
          <w:color w:val="1D2129"/>
          <w:spacing w:val="-2"/>
        </w:rPr>
        <w:t xml:space="preserve">“Sir John Malcolm,” </w:t>
      </w:r>
      <w:proofErr w:type="spellStart"/>
      <w:r w:rsidRPr="00524A0D">
        <w:rPr>
          <w:rStyle w:val="apple-converted-space"/>
          <w:rFonts w:ascii="Palatino" w:eastAsia=".SFNSText-Regular" w:hAnsi="Palatino"/>
          <w:color w:val="1D2129"/>
          <w:spacing w:val="-2"/>
          <w:u w:val="single"/>
        </w:rPr>
        <w:t>Encyclopaedia</w:t>
      </w:r>
      <w:proofErr w:type="spellEnd"/>
      <w:r w:rsidRPr="00524A0D">
        <w:rPr>
          <w:rStyle w:val="apple-converted-space"/>
          <w:rFonts w:ascii="Palatino" w:eastAsia=".SFNSText-Regular" w:hAnsi="Palatino"/>
          <w:color w:val="1D2129"/>
          <w:spacing w:val="-2"/>
          <w:u w:val="single"/>
        </w:rPr>
        <w:t xml:space="preserve"> </w:t>
      </w:r>
      <w:proofErr w:type="spellStart"/>
      <w:r w:rsidRPr="00524A0D">
        <w:rPr>
          <w:rStyle w:val="apple-converted-space"/>
          <w:rFonts w:ascii="Palatino" w:eastAsia=".SFNSText-Regular" w:hAnsi="Palatino"/>
          <w:color w:val="1D2129"/>
          <w:spacing w:val="-2"/>
          <w:u w:val="single"/>
        </w:rPr>
        <w:t>Iranica</w:t>
      </w:r>
      <w:proofErr w:type="spellEnd"/>
      <w:r>
        <w:rPr>
          <w:rStyle w:val="apple-converted-space"/>
          <w:rFonts w:ascii="Palatino" w:eastAsia=".SFNSText-Regular" w:hAnsi="Palatino"/>
          <w:color w:val="1D2129"/>
          <w:spacing w:val="-2"/>
        </w:rPr>
        <w:t xml:space="preserve"> (2017). </w:t>
      </w:r>
      <w:r w:rsidRPr="00524A0D">
        <w:rPr>
          <w:rStyle w:val="apple-converted-space"/>
          <w:rFonts w:ascii="Palatino" w:eastAsia=".SFNSText-Regular" w:hAnsi="Palatino"/>
          <w:color w:val="1D2129"/>
          <w:spacing w:val="-2"/>
        </w:rPr>
        <w:t>“</w:t>
      </w:r>
      <w:proofErr w:type="spellStart"/>
      <w:r w:rsidRPr="00524A0D">
        <w:rPr>
          <w:rStyle w:val="apple-converted-space"/>
          <w:rFonts w:ascii="Palatino" w:eastAsia=".SFNSText-Regular" w:hAnsi="Palatino"/>
          <w:color w:val="1D2129"/>
          <w:spacing w:val="-2"/>
        </w:rPr>
        <w:t>Soltan</w:t>
      </w:r>
      <w:proofErr w:type="spellEnd"/>
      <w:r w:rsidRPr="00524A0D">
        <w:rPr>
          <w:rStyle w:val="apple-converted-space"/>
          <w:rFonts w:ascii="Palatino" w:eastAsia=".SFNSText-Regular" w:hAnsi="Palatino"/>
          <w:color w:val="1D2129"/>
          <w:spacing w:val="-2"/>
        </w:rPr>
        <w:t xml:space="preserve"> Ahmad Mirza `</w:t>
      </w:r>
      <w:proofErr w:type="spellStart"/>
      <w:r w:rsidRPr="00524A0D">
        <w:rPr>
          <w:rStyle w:val="apple-converted-space"/>
          <w:rFonts w:ascii="Palatino" w:eastAsia=".SFNSText-Regular" w:hAnsi="Palatino"/>
          <w:color w:val="1D2129"/>
          <w:spacing w:val="-2"/>
        </w:rPr>
        <w:t>Azod</w:t>
      </w:r>
      <w:proofErr w:type="spellEnd"/>
      <w:r w:rsidRPr="00524A0D">
        <w:rPr>
          <w:rStyle w:val="apple-converted-space"/>
          <w:rFonts w:ascii="Palatino" w:eastAsia=".SFNSText-Regular" w:hAnsi="Palatino"/>
          <w:color w:val="1D2129"/>
          <w:spacing w:val="-2"/>
        </w:rPr>
        <w:t xml:space="preserve"> al-</w:t>
      </w:r>
      <w:proofErr w:type="spellStart"/>
      <w:r w:rsidRPr="00524A0D">
        <w:rPr>
          <w:rStyle w:val="apple-converted-space"/>
          <w:rFonts w:ascii="Palatino" w:eastAsia=".SFNSText-Regular" w:hAnsi="Palatino"/>
          <w:color w:val="1D2129"/>
          <w:spacing w:val="-2"/>
        </w:rPr>
        <w:t>Dowleh</w:t>
      </w:r>
      <w:proofErr w:type="spellEnd"/>
      <w:r w:rsidRPr="00524A0D">
        <w:rPr>
          <w:rStyle w:val="apple-converted-space"/>
          <w:rFonts w:ascii="Palatino" w:eastAsia=".SFNSText-Regular" w:hAnsi="Palatino"/>
          <w:color w:val="1D2129"/>
          <w:spacing w:val="-2"/>
        </w:rPr>
        <w:t xml:space="preserve"> and the </w:t>
      </w:r>
      <w:proofErr w:type="spellStart"/>
      <w:r w:rsidRPr="00524A0D">
        <w:rPr>
          <w:rStyle w:val="apple-converted-space"/>
          <w:rFonts w:ascii="Palatino" w:eastAsia=".SFNSText-Regular" w:hAnsi="Palatino"/>
          <w:color w:val="1D2129"/>
          <w:spacing w:val="-2"/>
          <w:u w:val="single"/>
        </w:rPr>
        <w:t>Tarikh</w:t>
      </w:r>
      <w:proofErr w:type="spellEnd"/>
      <w:r w:rsidRPr="00524A0D">
        <w:rPr>
          <w:rStyle w:val="apple-converted-space"/>
          <w:rFonts w:ascii="Palatino" w:eastAsia=".SFNSText-Regular" w:hAnsi="Palatino"/>
          <w:color w:val="1D2129"/>
          <w:spacing w:val="-2"/>
          <w:u w:val="single"/>
        </w:rPr>
        <w:t>-e `</w:t>
      </w:r>
      <w:proofErr w:type="spellStart"/>
      <w:r w:rsidRPr="00524A0D">
        <w:rPr>
          <w:rStyle w:val="apple-converted-space"/>
          <w:rFonts w:ascii="Palatino" w:eastAsia=".SFNSText-Regular" w:hAnsi="Palatino"/>
          <w:color w:val="1D2129"/>
          <w:spacing w:val="-2"/>
          <w:u w:val="single"/>
        </w:rPr>
        <w:t>Azodi</w:t>
      </w:r>
      <w:proofErr w:type="spellEnd"/>
      <w:r>
        <w:rPr>
          <w:rStyle w:val="apple-converted-space"/>
          <w:rFonts w:ascii="Palatino" w:eastAsia=".SFNSText-Regular" w:hAnsi="Palatino"/>
          <w:color w:val="1D2129"/>
          <w:spacing w:val="-2"/>
          <w:u w:val="single"/>
        </w:rPr>
        <w:t>,</w:t>
      </w:r>
      <w:r w:rsidRPr="00524A0D">
        <w:rPr>
          <w:rStyle w:val="apple-converted-space"/>
          <w:rFonts w:ascii="Palatino" w:eastAsia=".SFNSText-Regular" w:hAnsi="Palatino"/>
          <w:color w:val="1D2129"/>
          <w:spacing w:val="-2"/>
        </w:rPr>
        <w:t xml:space="preserve">” </w:t>
      </w:r>
      <w:proofErr w:type="spellStart"/>
      <w:r w:rsidRPr="00524A0D">
        <w:rPr>
          <w:rStyle w:val="apple-converted-space"/>
          <w:rFonts w:ascii="Palatino" w:eastAsia=".SFNSText-Regular" w:hAnsi="Palatino"/>
          <w:color w:val="1D2129"/>
          <w:spacing w:val="-2"/>
          <w:u w:val="single"/>
        </w:rPr>
        <w:t>Encyclopaedia</w:t>
      </w:r>
      <w:proofErr w:type="spellEnd"/>
      <w:r w:rsidRPr="00524A0D">
        <w:rPr>
          <w:rStyle w:val="apple-converted-space"/>
          <w:rFonts w:ascii="Palatino" w:eastAsia=".SFNSText-Regular" w:hAnsi="Palatino"/>
          <w:color w:val="1D2129"/>
          <w:spacing w:val="-2"/>
          <w:u w:val="single"/>
        </w:rPr>
        <w:t xml:space="preserve"> </w:t>
      </w:r>
      <w:proofErr w:type="spellStart"/>
      <w:r w:rsidRPr="00524A0D">
        <w:rPr>
          <w:rStyle w:val="apple-converted-space"/>
          <w:rFonts w:ascii="Palatino" w:eastAsia=".SFNSText-Regular" w:hAnsi="Palatino"/>
          <w:color w:val="1D2129"/>
          <w:spacing w:val="-2"/>
          <w:u w:val="single"/>
        </w:rPr>
        <w:t>Iranica</w:t>
      </w:r>
      <w:proofErr w:type="spellEnd"/>
      <w:r w:rsidRPr="00524A0D">
        <w:rPr>
          <w:rStyle w:val="apple-converted-space"/>
          <w:rFonts w:ascii="Palatino" w:eastAsia=".SFNSText-Regular" w:hAnsi="Palatino"/>
          <w:color w:val="1D2129"/>
          <w:spacing w:val="-2"/>
        </w:rPr>
        <w:t xml:space="preserve"> (2017)</w:t>
      </w:r>
      <w:r>
        <w:rPr>
          <w:rStyle w:val="apple-converted-space"/>
          <w:rFonts w:ascii="Palatino" w:eastAsia=".SFNSText-Regular" w:hAnsi="Palatino"/>
          <w:color w:val="1D2129"/>
          <w:spacing w:val="-2"/>
        </w:rPr>
        <w:t xml:space="preserve">. </w:t>
      </w:r>
      <w:r w:rsidRPr="00524A0D">
        <w:rPr>
          <w:rStyle w:val="apple-converted-space"/>
          <w:rFonts w:ascii="Palatino" w:eastAsia=".SFNSText-Regular" w:hAnsi="Palatino"/>
          <w:color w:val="1D2129"/>
          <w:spacing w:val="-2"/>
        </w:rPr>
        <w:t xml:space="preserve">“Subversive Subalterns: The </w:t>
      </w:r>
      <w:proofErr w:type="spellStart"/>
      <w:r w:rsidRPr="00524A0D">
        <w:rPr>
          <w:rStyle w:val="apple-converted-space"/>
          <w:rFonts w:ascii="Palatino" w:eastAsia=".SFNSText-Regular" w:hAnsi="Palatino"/>
          <w:color w:val="1D2129"/>
          <w:spacing w:val="-2"/>
        </w:rPr>
        <w:t>Bagh</w:t>
      </w:r>
      <w:proofErr w:type="spellEnd"/>
      <w:r w:rsidRPr="00524A0D">
        <w:rPr>
          <w:rStyle w:val="apple-converted-space"/>
          <w:rFonts w:ascii="Palatino" w:eastAsia=".SFNSText-Regular" w:hAnsi="Palatino"/>
          <w:color w:val="1D2129"/>
          <w:spacing w:val="-2"/>
        </w:rPr>
        <w:t xml:space="preserve">-e Shah Twenty-Two,” H.E. </w:t>
      </w:r>
      <w:proofErr w:type="spellStart"/>
      <w:r w:rsidRPr="00524A0D">
        <w:rPr>
          <w:rStyle w:val="apple-converted-space"/>
          <w:rFonts w:ascii="Palatino" w:eastAsia=".SFNSText-Regular" w:hAnsi="Palatino"/>
          <w:color w:val="1D2129"/>
          <w:spacing w:val="-2"/>
        </w:rPr>
        <w:t>Chehabi</w:t>
      </w:r>
      <w:proofErr w:type="spellEnd"/>
      <w:r w:rsidRPr="00524A0D">
        <w:rPr>
          <w:rStyle w:val="apple-converted-space"/>
          <w:rFonts w:ascii="Palatino" w:eastAsia=".SFNSText-Regular" w:hAnsi="Palatino"/>
          <w:color w:val="1D2129"/>
          <w:spacing w:val="-2"/>
        </w:rPr>
        <w:t xml:space="preserve">, et. al. eds., </w:t>
      </w:r>
      <w:r w:rsidRPr="00524A0D">
        <w:rPr>
          <w:rStyle w:val="apple-converted-space"/>
          <w:rFonts w:ascii="Palatino" w:eastAsia=".SFNSText-Regular" w:hAnsi="Palatino"/>
          <w:color w:val="1D2129"/>
          <w:spacing w:val="-2"/>
          <w:u w:val="single"/>
        </w:rPr>
        <w:t>Iran and the Middle East: Transnational Encounters and Social History</w:t>
      </w:r>
      <w:r>
        <w:rPr>
          <w:rStyle w:val="apple-converted-space"/>
          <w:rFonts w:ascii="Palatino" w:eastAsia=".SFNSText-Regular" w:hAnsi="Palatino"/>
          <w:color w:val="1D2129"/>
          <w:spacing w:val="-2"/>
        </w:rPr>
        <w:t xml:space="preserve">, (I.B. Tauris, 2015). </w:t>
      </w:r>
      <w:r w:rsidRPr="00524A0D">
        <w:rPr>
          <w:rStyle w:val="apple-converted-space"/>
          <w:rFonts w:ascii="Palatino" w:eastAsia=".SFNSText-Regular" w:hAnsi="Palatino"/>
          <w:color w:val="1D2129"/>
          <w:spacing w:val="-2"/>
          <w:u w:val="single"/>
        </w:rPr>
        <w:t>Life at the Court of the Early Qajar</w:t>
      </w:r>
      <w:r>
        <w:rPr>
          <w:rStyle w:val="apple-converted-space"/>
          <w:rFonts w:ascii="Palatino" w:eastAsia=".SFNSText-Regular" w:hAnsi="Palatino"/>
          <w:color w:val="1D2129"/>
          <w:spacing w:val="-2"/>
          <w:u w:val="single"/>
        </w:rPr>
        <w:t xml:space="preserve"> Shah</w:t>
      </w:r>
      <w:r w:rsidRPr="00524A0D">
        <w:rPr>
          <w:rStyle w:val="apple-converted-space"/>
          <w:rFonts w:ascii="Palatino" w:eastAsia=".SFNSText-Regular" w:hAnsi="Palatino"/>
          <w:color w:val="1D2129"/>
          <w:spacing w:val="-2"/>
          <w:u w:val="single"/>
        </w:rPr>
        <w:t>s</w:t>
      </w:r>
      <w:r>
        <w:rPr>
          <w:rStyle w:val="apple-converted-space"/>
          <w:rFonts w:ascii="Palatino" w:eastAsia=".SFNSText-Regular" w:hAnsi="Palatino"/>
          <w:color w:val="1D2129"/>
          <w:spacing w:val="-2"/>
        </w:rPr>
        <w:t xml:space="preserve"> (Mage Publishers, 2014). </w:t>
      </w:r>
      <w:r w:rsidRPr="00524A0D">
        <w:rPr>
          <w:rStyle w:val="apple-converted-space"/>
          <w:rFonts w:ascii="Palatino" w:eastAsia=".SFNSText-Regular" w:hAnsi="Palatino"/>
          <w:color w:val="1D2129"/>
          <w:spacing w:val="-2"/>
        </w:rPr>
        <w:t xml:space="preserve">“Persian Ambassadors, their </w:t>
      </w:r>
      <w:proofErr w:type="spellStart"/>
      <w:r w:rsidRPr="00524A0D">
        <w:rPr>
          <w:rStyle w:val="apple-converted-space"/>
          <w:rFonts w:ascii="Palatino" w:eastAsia=".SFNSText-Regular" w:hAnsi="Palatino"/>
          <w:color w:val="1D2129"/>
          <w:spacing w:val="-2"/>
        </w:rPr>
        <w:t>Circassians</w:t>
      </w:r>
      <w:proofErr w:type="spellEnd"/>
      <w:r w:rsidRPr="00524A0D">
        <w:rPr>
          <w:rStyle w:val="apple-converted-space"/>
          <w:rFonts w:ascii="Palatino" w:eastAsia=".SFNSText-Regular" w:hAnsi="Palatino"/>
          <w:color w:val="1D2129"/>
          <w:spacing w:val="-2"/>
        </w:rPr>
        <w:t xml:space="preserve">, and the Politics of Elizabethan and Regency England,” </w:t>
      </w:r>
      <w:r w:rsidRPr="00524A0D">
        <w:rPr>
          <w:rStyle w:val="apple-converted-space"/>
          <w:rFonts w:ascii="Palatino" w:eastAsia=".SFNSText-Regular" w:hAnsi="Palatino"/>
          <w:color w:val="1D2129"/>
          <w:spacing w:val="-2"/>
          <w:u w:val="single"/>
        </w:rPr>
        <w:t>Iranian Studies</w:t>
      </w:r>
      <w:r w:rsidRPr="00524A0D">
        <w:rPr>
          <w:rStyle w:val="apple-converted-space"/>
          <w:rFonts w:ascii="Palatino" w:eastAsia=".SFNSText-Regular" w:hAnsi="Palatino"/>
          <w:color w:val="1D2129"/>
          <w:spacing w:val="-2"/>
        </w:rPr>
        <w:t>, Vol. 4</w:t>
      </w:r>
      <w:r>
        <w:rPr>
          <w:rStyle w:val="apple-converted-space"/>
          <w:rFonts w:ascii="Palatino" w:eastAsia=".SFNSText-Regular" w:hAnsi="Palatino"/>
          <w:color w:val="1D2129"/>
          <w:spacing w:val="-2"/>
        </w:rPr>
        <w:t xml:space="preserve">4, No 2, March 11, pp. 251-271. </w:t>
      </w:r>
      <w:r w:rsidRPr="00524A0D">
        <w:rPr>
          <w:rStyle w:val="apple-converted-space"/>
          <w:rFonts w:ascii="Palatino" w:eastAsia=".SFNSText-Regular" w:hAnsi="Palatino"/>
          <w:color w:val="1D2129"/>
          <w:spacing w:val="-2"/>
        </w:rPr>
        <w:t xml:space="preserve">“Between Scylla and Charybdis: Policy-Making Under Conditions of Constraint in Early Qajar Persia,” Roxane </w:t>
      </w:r>
      <w:proofErr w:type="spellStart"/>
      <w:r w:rsidRPr="00524A0D">
        <w:rPr>
          <w:rStyle w:val="apple-converted-space"/>
          <w:rFonts w:ascii="Palatino" w:eastAsia=".SFNSText-Regular" w:hAnsi="Palatino"/>
          <w:color w:val="1D2129"/>
          <w:spacing w:val="-2"/>
        </w:rPr>
        <w:t>Farmanfarmaian</w:t>
      </w:r>
      <w:proofErr w:type="spellEnd"/>
      <w:r w:rsidRPr="00524A0D">
        <w:rPr>
          <w:rStyle w:val="apple-converted-space"/>
          <w:rFonts w:ascii="Palatino" w:eastAsia=".SFNSText-Regular" w:hAnsi="Palatino"/>
          <w:color w:val="1D2129"/>
          <w:spacing w:val="-2"/>
        </w:rPr>
        <w:t xml:space="preserve">, ed., </w:t>
      </w:r>
      <w:r w:rsidRPr="00524A0D">
        <w:rPr>
          <w:rStyle w:val="apple-converted-space"/>
          <w:rFonts w:ascii="Palatino" w:eastAsia=".SFNSText-Regular" w:hAnsi="Palatino"/>
          <w:color w:val="1D2129"/>
          <w:spacing w:val="-2"/>
          <w:u w:val="single"/>
        </w:rPr>
        <w:t>War and Peace in Qajar Persia: Implications Past and Present</w:t>
      </w:r>
      <w:r w:rsidRPr="00524A0D">
        <w:rPr>
          <w:rStyle w:val="apple-converted-space"/>
          <w:rFonts w:ascii="Palatino" w:eastAsia=".SFNSText-Regular" w:hAnsi="Palatino"/>
          <w:color w:val="1D2129"/>
          <w:spacing w:val="-2"/>
        </w:rPr>
        <w:t xml:space="preserve"> (Routledge, 2008)</w:t>
      </w:r>
      <w:r>
        <w:rPr>
          <w:rStyle w:val="apple-converted-space"/>
          <w:rFonts w:ascii="Palatino" w:eastAsia=".SFNSText-Regular" w:hAnsi="Palatino"/>
          <w:color w:val="1D2129"/>
          <w:spacing w:val="-2"/>
        </w:rPr>
        <w:t xml:space="preserve">. </w:t>
      </w:r>
      <w:r w:rsidRPr="00524A0D">
        <w:rPr>
          <w:rStyle w:val="apple-converted-space"/>
          <w:rFonts w:ascii="Palatino" w:eastAsia=".SFNSText-Regular" w:hAnsi="Palatino"/>
          <w:color w:val="1D2129"/>
          <w:spacing w:val="-2"/>
        </w:rPr>
        <w:t xml:space="preserve">“Novellas as Morality Tales and Entertainment in the Newspapers of the Late Qajar Period: </w:t>
      </w:r>
      <w:proofErr w:type="spellStart"/>
      <w:r w:rsidRPr="00524A0D">
        <w:rPr>
          <w:rStyle w:val="apple-converted-space"/>
          <w:rFonts w:ascii="Palatino" w:eastAsia=".SFNSText-Regular" w:hAnsi="Palatino"/>
          <w:color w:val="1D2129"/>
          <w:spacing w:val="-2"/>
        </w:rPr>
        <w:t>Yahya</w:t>
      </w:r>
      <w:proofErr w:type="spellEnd"/>
      <w:r w:rsidRPr="00524A0D">
        <w:rPr>
          <w:rStyle w:val="apple-converted-space"/>
          <w:rFonts w:ascii="Palatino" w:eastAsia=".SFNSText-Regular" w:hAnsi="Palatino"/>
          <w:color w:val="1D2129"/>
          <w:spacing w:val="-2"/>
        </w:rPr>
        <w:t xml:space="preserve"> Mirza </w:t>
      </w:r>
      <w:proofErr w:type="spellStart"/>
      <w:r w:rsidRPr="00524A0D">
        <w:rPr>
          <w:rStyle w:val="apple-converted-space"/>
          <w:rFonts w:ascii="Palatino" w:eastAsia=".SFNSText-Regular" w:hAnsi="Palatino"/>
          <w:color w:val="1D2129"/>
          <w:spacing w:val="-2"/>
        </w:rPr>
        <w:t>Eskandari’s</w:t>
      </w:r>
      <w:proofErr w:type="spellEnd"/>
      <w:r w:rsidRPr="00524A0D">
        <w:rPr>
          <w:rStyle w:val="apple-converted-space"/>
          <w:rFonts w:ascii="Palatino" w:eastAsia=".SFNSText-Regular" w:hAnsi="Palatino"/>
          <w:color w:val="1D2129"/>
          <w:spacing w:val="-2"/>
        </w:rPr>
        <w:t xml:space="preserve"> ‘</w:t>
      </w:r>
      <w:proofErr w:type="spellStart"/>
      <w:r w:rsidRPr="00524A0D">
        <w:rPr>
          <w:rStyle w:val="apple-converted-space"/>
          <w:rFonts w:ascii="Palatino" w:eastAsia=".SFNSText-Regular" w:hAnsi="Palatino"/>
          <w:color w:val="1D2129"/>
          <w:spacing w:val="-2"/>
        </w:rPr>
        <w:t>Eshgh</w:t>
      </w:r>
      <w:proofErr w:type="spellEnd"/>
      <w:r w:rsidRPr="00524A0D">
        <w:rPr>
          <w:rStyle w:val="apple-converted-space"/>
          <w:rFonts w:ascii="Palatino" w:eastAsia=".SFNSText-Regular" w:hAnsi="Palatino"/>
          <w:color w:val="1D2129"/>
          <w:spacing w:val="-2"/>
        </w:rPr>
        <w:t xml:space="preserve">-e </w:t>
      </w:r>
      <w:proofErr w:type="spellStart"/>
      <w:r w:rsidRPr="00524A0D">
        <w:rPr>
          <w:rStyle w:val="apple-converted-space"/>
          <w:rFonts w:ascii="Palatino" w:eastAsia=".SFNSText-Regular" w:hAnsi="Palatino"/>
          <w:color w:val="1D2129"/>
          <w:spacing w:val="-2"/>
        </w:rPr>
        <w:t>Doroughi</w:t>
      </w:r>
      <w:proofErr w:type="spellEnd"/>
      <w:r w:rsidRPr="00524A0D">
        <w:rPr>
          <w:rStyle w:val="apple-converted-space"/>
          <w:rFonts w:ascii="Palatino" w:eastAsia=".SFNSText-Regular" w:hAnsi="Palatino"/>
          <w:color w:val="1D2129"/>
          <w:spacing w:val="-2"/>
        </w:rPr>
        <w:t>’ and ‘</w:t>
      </w:r>
      <w:proofErr w:type="spellStart"/>
      <w:r w:rsidRPr="00524A0D">
        <w:rPr>
          <w:rStyle w:val="apple-converted-space"/>
          <w:rFonts w:ascii="Palatino" w:eastAsia=".SFNSText-Regular" w:hAnsi="Palatino"/>
          <w:color w:val="1D2129"/>
          <w:spacing w:val="-2"/>
        </w:rPr>
        <w:t>Arousi</w:t>
      </w:r>
      <w:proofErr w:type="spellEnd"/>
      <w:r w:rsidRPr="00524A0D">
        <w:rPr>
          <w:rStyle w:val="apple-converted-space"/>
          <w:rFonts w:ascii="Palatino" w:eastAsia=".SFNSText-Regular" w:hAnsi="Palatino"/>
          <w:color w:val="1D2129"/>
          <w:spacing w:val="-2"/>
        </w:rPr>
        <w:t xml:space="preserve">-e </w:t>
      </w:r>
      <w:proofErr w:type="spellStart"/>
      <w:r w:rsidRPr="00524A0D">
        <w:rPr>
          <w:rStyle w:val="apple-converted-space"/>
          <w:rFonts w:ascii="Palatino" w:eastAsia=".SFNSText-Regular" w:hAnsi="Palatino"/>
          <w:color w:val="1D2129"/>
          <w:spacing w:val="-2"/>
        </w:rPr>
        <w:t>Mehrangiz</w:t>
      </w:r>
      <w:proofErr w:type="spellEnd"/>
      <w:r w:rsidRPr="00524A0D">
        <w:rPr>
          <w:rStyle w:val="apple-converted-space"/>
          <w:rFonts w:ascii="Palatino" w:eastAsia=".SFNSText-Regular" w:hAnsi="Palatino"/>
          <w:color w:val="1D2129"/>
          <w:spacing w:val="-2"/>
        </w:rPr>
        <w:t xml:space="preserve">’,” </w:t>
      </w:r>
      <w:r w:rsidRPr="00524A0D">
        <w:rPr>
          <w:rStyle w:val="apple-converted-space"/>
          <w:rFonts w:ascii="Palatino" w:eastAsia=".SFNSText-Regular" w:hAnsi="Palatino"/>
          <w:color w:val="1D2129"/>
          <w:spacing w:val="-2"/>
          <w:u w:val="single"/>
        </w:rPr>
        <w:t>Iranian Studies</w:t>
      </w:r>
      <w:r w:rsidRPr="00524A0D">
        <w:rPr>
          <w:rStyle w:val="apple-converted-space"/>
          <w:rFonts w:ascii="Palatino" w:eastAsia=".SFNSText-Regular" w:hAnsi="Palatino"/>
          <w:color w:val="1D2129"/>
          <w:spacing w:val="-2"/>
        </w:rPr>
        <w:t>, Vol. 40, No. 4, September 2007, pp. 511-528.</w:t>
      </w:r>
      <w:r>
        <w:rPr>
          <w:rStyle w:val="apple-converted-space"/>
          <w:rFonts w:ascii="Palatino" w:eastAsia=".SFNSText-Regular" w:hAnsi="Palatino"/>
          <w:color w:val="1D2129"/>
          <w:spacing w:val="-2"/>
        </w:rPr>
        <w:t xml:space="preserve"> </w:t>
      </w:r>
      <w:r w:rsidRPr="00524A0D">
        <w:rPr>
          <w:rStyle w:val="apple-converted-space"/>
          <w:rFonts w:ascii="Palatino" w:eastAsia=".SFNSText-Regular" w:hAnsi="Palatino"/>
          <w:color w:val="1D2129"/>
          <w:spacing w:val="-2"/>
        </w:rPr>
        <w:br/>
      </w:r>
      <w:r>
        <w:rPr>
          <w:rStyle w:val="apple-converted-space"/>
          <w:rFonts w:ascii="Palatino" w:eastAsia=".SFNSText-Regular" w:hAnsi="Palatino"/>
          <w:color w:val="1D2129"/>
          <w:spacing w:val="-2"/>
        </w:rPr>
        <w:t xml:space="preserve">He is the recipient of several teaching awards, the most recent of which are: </w:t>
      </w:r>
      <w:r w:rsidRPr="003A08C8">
        <w:rPr>
          <w:rStyle w:val="apple-converted-space"/>
          <w:rFonts w:ascii="Palatino" w:eastAsia=".SFNSText-Regular" w:hAnsi="Palatino"/>
          <w:color w:val="1D2129"/>
          <w:spacing w:val="-2"/>
          <w:u w:val="single"/>
        </w:rPr>
        <w:t>Community College Educator Recognition Award</w:t>
      </w:r>
      <w:r>
        <w:rPr>
          <w:rStyle w:val="apple-converted-space"/>
          <w:rFonts w:ascii="Palatino" w:eastAsia=".SFNSText-Regular" w:hAnsi="Palatino"/>
          <w:color w:val="1D2129"/>
          <w:spacing w:val="-2"/>
        </w:rPr>
        <w:t xml:space="preserve"> (2016), University of California, Irvine, Division of Undergraduate Education; </w:t>
      </w:r>
      <w:r w:rsidRPr="003A08C8">
        <w:rPr>
          <w:rStyle w:val="apple-converted-space"/>
          <w:rFonts w:ascii="Palatino" w:eastAsia=".SFNSText-Regular" w:hAnsi="Palatino"/>
          <w:color w:val="1D2129"/>
          <w:spacing w:val="-2"/>
          <w:u w:val="single"/>
        </w:rPr>
        <w:t>California Professor of the Year</w:t>
      </w:r>
      <w:r>
        <w:rPr>
          <w:rStyle w:val="apple-converted-space"/>
          <w:rFonts w:ascii="Palatino" w:eastAsia=".SFNSText-Regular" w:hAnsi="Palatino"/>
          <w:color w:val="1D2129"/>
          <w:spacing w:val="-2"/>
        </w:rPr>
        <w:t xml:space="preserve"> </w:t>
      </w:r>
      <w:r w:rsidRPr="00524A0D">
        <w:rPr>
          <w:rStyle w:val="apple-converted-space"/>
          <w:rFonts w:ascii="Palatino" w:eastAsia=".SFNSText-Regular" w:hAnsi="Palatino"/>
          <w:color w:val="1D2129"/>
          <w:spacing w:val="-2"/>
        </w:rPr>
        <w:t xml:space="preserve">(2013), </w:t>
      </w:r>
      <w:r>
        <w:rPr>
          <w:rStyle w:val="apple-converted-space"/>
          <w:rFonts w:ascii="Palatino" w:eastAsia=".SFNSText-Regular" w:hAnsi="Palatino"/>
          <w:color w:val="1D2129"/>
          <w:spacing w:val="-2"/>
        </w:rPr>
        <w:t xml:space="preserve">Carnegie Foundation for the Advancement of Teaching and the Council for Advancement and Support of Education; </w:t>
      </w:r>
      <w:r w:rsidRPr="006D4268">
        <w:rPr>
          <w:rStyle w:val="apple-converted-space"/>
          <w:rFonts w:ascii="Palatino" w:eastAsia=".SFNSText-Regular" w:hAnsi="Palatino"/>
          <w:color w:val="1D2129"/>
          <w:spacing w:val="-2"/>
          <w:u w:val="single"/>
        </w:rPr>
        <w:t>Professor of the Year/Faculty Lecturer</w:t>
      </w:r>
      <w:r>
        <w:rPr>
          <w:rStyle w:val="apple-converted-space"/>
          <w:rFonts w:ascii="Palatino" w:eastAsia=".SFNSText-Regular" w:hAnsi="Palatino"/>
          <w:color w:val="1D2129"/>
          <w:spacing w:val="-2"/>
        </w:rPr>
        <w:t xml:space="preserve"> (1998-99), Santa Barbara City College; </w:t>
      </w:r>
      <w:r w:rsidRPr="006D4268">
        <w:rPr>
          <w:rStyle w:val="apple-converted-space"/>
          <w:rFonts w:ascii="Palatino" w:eastAsia=".SFNSText-Regular" w:hAnsi="Palatino"/>
          <w:color w:val="1D2129"/>
          <w:spacing w:val="-2"/>
          <w:u w:val="single"/>
        </w:rPr>
        <w:t>Professor of the Year</w:t>
      </w:r>
      <w:r>
        <w:rPr>
          <w:rStyle w:val="apple-converted-space"/>
          <w:rFonts w:ascii="Palatino" w:eastAsia=".SFNSText-Regular" w:hAnsi="Palatino"/>
          <w:color w:val="1D2129"/>
          <w:spacing w:val="-2"/>
        </w:rPr>
        <w:t xml:space="preserve"> (1991), University of California, Santa Barbara.</w:t>
      </w:r>
      <w:bookmarkStart w:id="0" w:name="_GoBack"/>
      <w:bookmarkEnd w:id="0"/>
    </w:p>
    <w:sectPr w:rsidR="00923C43" w:rsidSect="00B71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roman"/>
    <w:pitch w:val="variable"/>
    <w:sig w:usb0="A00002FF" w:usb1="7800205A" w:usb2="14600000" w:usb3="00000000" w:csb0="00000193" w:csb1="00000000"/>
  </w:font>
  <w:font w:name=".SFNSText-Regular">
    <w:charset w:val="88"/>
    <w:family w:val="swiss"/>
    <w:pitch w:val="variable"/>
    <w:sig w:usb0="2000028F" w:usb1="0A080003" w:usb2="00000010" w:usb3="00000000" w:csb0="001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2E"/>
    <w:rsid w:val="0002072E"/>
    <w:rsid w:val="00923C43"/>
    <w:rsid w:val="00B71D2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D25D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Macintosh Word</Application>
  <DocSecurity>0</DocSecurity>
  <Lines>16</Lines>
  <Paragraphs>4</Paragraphs>
  <ScaleCrop>false</ScaleCrop>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Manoutchehr Eskandari-Qajar</dc:creator>
  <cp:keywords/>
  <dc:description/>
  <cp:lastModifiedBy>Manoutchehr Eskandari-Qajar</cp:lastModifiedBy>
  <cp:revision>1</cp:revision>
  <dcterms:created xsi:type="dcterms:W3CDTF">2017-09-10T23:02:00Z</dcterms:created>
  <dcterms:modified xsi:type="dcterms:W3CDTF">2017-09-10T23:02:00Z</dcterms:modified>
</cp:coreProperties>
</file>